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5A" w:rsidRPr="001A55A0" w:rsidRDefault="00561C5A" w:rsidP="00561C5A">
      <w:pPr>
        <w:jc w:val="center"/>
        <w:rPr>
          <w:rFonts w:ascii="微软雅黑" w:eastAsia="微软雅黑" w:hAnsi="微软雅黑"/>
          <w:b/>
          <w:sz w:val="28"/>
          <w:szCs w:val="28"/>
        </w:rPr>
      </w:pPr>
      <w:r w:rsidRPr="001A55A0">
        <w:rPr>
          <w:rFonts w:ascii="微软雅黑" w:eastAsia="微软雅黑" w:hAnsi="微软雅黑" w:hint="eastAsia"/>
          <w:b/>
          <w:sz w:val="28"/>
          <w:szCs w:val="28"/>
        </w:rPr>
        <w:t>财政部 国家自然科学基金委员会关于印发</w:t>
      </w:r>
    </w:p>
    <w:p w:rsidR="00561C5A" w:rsidRPr="001A55A0" w:rsidRDefault="00561C5A" w:rsidP="00561C5A">
      <w:pPr>
        <w:jc w:val="center"/>
        <w:rPr>
          <w:rFonts w:ascii="微软雅黑" w:eastAsia="微软雅黑" w:hAnsi="微软雅黑"/>
          <w:b/>
          <w:sz w:val="28"/>
          <w:szCs w:val="28"/>
        </w:rPr>
      </w:pPr>
      <w:r w:rsidRPr="001A55A0">
        <w:rPr>
          <w:rFonts w:ascii="微软雅黑" w:eastAsia="微软雅黑" w:hAnsi="微软雅黑" w:hint="eastAsia"/>
          <w:b/>
          <w:sz w:val="28"/>
          <w:szCs w:val="28"/>
        </w:rPr>
        <w:t xml:space="preserve"> 《国家自然科学基金资助项目资金管理办法》的通知</w:t>
      </w:r>
    </w:p>
    <w:p w:rsidR="00FE1C2A" w:rsidRPr="001A55A0" w:rsidRDefault="00561C5A" w:rsidP="00561C5A">
      <w:pPr>
        <w:jc w:val="center"/>
        <w:rPr>
          <w:rFonts w:ascii="微软雅黑" w:eastAsia="微软雅黑" w:hAnsi="微软雅黑"/>
          <w:sz w:val="28"/>
          <w:szCs w:val="28"/>
        </w:rPr>
      </w:pPr>
      <w:r w:rsidRPr="001A55A0">
        <w:rPr>
          <w:rFonts w:ascii="微软雅黑" w:eastAsia="微软雅黑" w:hAnsi="微软雅黑" w:hint="eastAsia"/>
          <w:sz w:val="28"/>
          <w:szCs w:val="28"/>
        </w:rPr>
        <w:t>（</w:t>
      </w:r>
      <w:proofErr w:type="gramStart"/>
      <w:r w:rsidRPr="001A55A0">
        <w:rPr>
          <w:rFonts w:ascii="微软雅黑" w:eastAsia="微软雅黑" w:hAnsi="微软雅黑" w:hint="eastAsia"/>
          <w:sz w:val="28"/>
          <w:szCs w:val="28"/>
        </w:rPr>
        <w:t>财教〔2021〕</w:t>
      </w:r>
      <w:proofErr w:type="gramEnd"/>
      <w:r w:rsidRPr="001A55A0">
        <w:rPr>
          <w:rFonts w:ascii="微软雅黑" w:eastAsia="微软雅黑" w:hAnsi="微软雅黑" w:hint="eastAsia"/>
          <w:sz w:val="28"/>
          <w:szCs w:val="28"/>
        </w:rPr>
        <w:t>177号）</w:t>
      </w:r>
    </w:p>
    <w:p w:rsidR="00561C5A" w:rsidRDefault="00561C5A" w:rsidP="00561C5A">
      <w:pPr>
        <w:pStyle w:val="a3"/>
        <w:shd w:val="clear" w:color="auto" w:fill="FFFFFF"/>
        <w:spacing w:before="0" w:beforeAutospacing="0" w:after="0" w:afterAutospacing="0"/>
        <w:jc w:val="both"/>
        <w:rPr>
          <w:rFonts w:ascii="微软雅黑" w:eastAsia="微软雅黑" w:hAnsi="微软雅黑"/>
          <w:color w:val="333333"/>
          <w:spacing w:val="8"/>
        </w:rPr>
      </w:pPr>
      <w:r>
        <w:rPr>
          <w:rFonts w:ascii="微软雅黑" w:eastAsia="微软雅黑" w:hAnsi="微软雅黑" w:hint="eastAsia"/>
          <w:color w:val="333333"/>
          <w:spacing w:val="8"/>
        </w:rPr>
        <w:t>有关单位：</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8"/>
        </w:rPr>
      </w:pPr>
      <w:r>
        <w:rPr>
          <w:rFonts w:ascii="微软雅黑" w:eastAsia="微软雅黑" w:hAnsi="微软雅黑" w:hint="eastAsia"/>
          <w:color w:val="333333"/>
          <w:spacing w:val="8"/>
        </w:rPr>
        <w:t>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w:t>
      </w:r>
      <w:proofErr w:type="gramStart"/>
      <w:r>
        <w:rPr>
          <w:rFonts w:ascii="微软雅黑" w:eastAsia="微软雅黑" w:hAnsi="微软雅黑" w:hint="eastAsia"/>
          <w:color w:val="333333"/>
          <w:spacing w:val="8"/>
        </w:rPr>
        <w:t>财教〔2015〕</w:t>
      </w:r>
      <w:proofErr w:type="gramEnd"/>
      <w:r>
        <w:rPr>
          <w:rFonts w:ascii="微软雅黑" w:eastAsia="微软雅黑" w:hAnsi="微软雅黑" w:hint="eastAsia"/>
          <w:color w:val="333333"/>
          <w:spacing w:val="8"/>
        </w:rPr>
        <w:t>15号)进行了修订。现将修订后的《国家自然科学基金资助项目资金管理办法》印发你们，请遵照执行。 </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8"/>
        </w:rPr>
      </w:pPr>
      <w:r>
        <w:rPr>
          <w:rFonts w:ascii="微软雅黑" w:eastAsia="微软雅黑" w:hAnsi="微软雅黑" w:hint="eastAsia"/>
          <w:color w:val="333333"/>
          <w:spacing w:val="8"/>
        </w:rPr>
        <w:t> </w:t>
      </w:r>
    </w:p>
    <w:p w:rsidR="00561C5A" w:rsidRDefault="00561C5A" w:rsidP="00561C5A">
      <w:pPr>
        <w:pStyle w:val="a3"/>
        <w:shd w:val="clear" w:color="auto" w:fill="FFFFFF"/>
        <w:spacing w:before="0" w:beforeAutospacing="0" w:after="0" w:afterAutospacing="0"/>
        <w:ind w:firstLine="480"/>
        <w:jc w:val="right"/>
        <w:rPr>
          <w:rFonts w:ascii="微软雅黑" w:eastAsia="微软雅黑" w:hAnsi="微软雅黑"/>
          <w:color w:val="333333"/>
          <w:spacing w:val="8"/>
        </w:rPr>
      </w:pPr>
      <w:r>
        <w:rPr>
          <w:rFonts w:ascii="微软雅黑" w:eastAsia="微软雅黑" w:hAnsi="微软雅黑" w:hint="eastAsia"/>
          <w:color w:val="333333"/>
          <w:spacing w:val="8"/>
        </w:rPr>
        <w:t> </w:t>
      </w:r>
    </w:p>
    <w:p w:rsidR="00561C5A" w:rsidRDefault="00561C5A" w:rsidP="00561C5A">
      <w:pPr>
        <w:pStyle w:val="a3"/>
        <w:shd w:val="clear" w:color="auto" w:fill="FFFFFF"/>
        <w:spacing w:before="0" w:beforeAutospacing="0" w:after="0" w:afterAutospacing="0"/>
        <w:ind w:firstLine="480"/>
        <w:jc w:val="right"/>
        <w:rPr>
          <w:rFonts w:ascii="微软雅黑" w:eastAsia="微软雅黑" w:hAnsi="微软雅黑"/>
          <w:color w:val="333333"/>
          <w:spacing w:val="8"/>
        </w:rPr>
      </w:pPr>
      <w:r>
        <w:rPr>
          <w:rFonts w:ascii="微软雅黑" w:eastAsia="微软雅黑" w:hAnsi="微软雅黑" w:hint="eastAsia"/>
          <w:color w:val="333333"/>
          <w:spacing w:val="8"/>
        </w:rPr>
        <w:t>             财政部 国家自然科学基金委员会</w:t>
      </w:r>
    </w:p>
    <w:p w:rsidR="00561C5A" w:rsidRDefault="00561C5A" w:rsidP="00561C5A">
      <w:pPr>
        <w:pStyle w:val="a3"/>
        <w:shd w:val="clear" w:color="auto" w:fill="FFFFFF"/>
        <w:spacing w:before="0" w:beforeAutospacing="0" w:after="0" w:afterAutospacing="0"/>
        <w:ind w:firstLine="480"/>
        <w:jc w:val="right"/>
        <w:rPr>
          <w:rFonts w:ascii="微软雅黑" w:eastAsia="微软雅黑" w:hAnsi="微软雅黑"/>
          <w:color w:val="333333"/>
          <w:spacing w:val="8"/>
        </w:rPr>
      </w:pPr>
      <w:r>
        <w:rPr>
          <w:rFonts w:ascii="微软雅黑" w:eastAsia="微软雅黑" w:hAnsi="微软雅黑" w:hint="eastAsia"/>
          <w:color w:val="333333"/>
          <w:spacing w:val="8"/>
        </w:rPr>
        <w:t>             2021年9月30日</w:t>
      </w:r>
    </w:p>
    <w:p w:rsidR="00561C5A" w:rsidRDefault="00561C5A">
      <w:pPr>
        <w:widowControl/>
        <w:jc w:val="left"/>
        <w:rPr>
          <w:rStyle w:val="a4"/>
          <w:rFonts w:ascii="微软雅黑" w:eastAsia="微软雅黑" w:hAnsi="微软雅黑" w:cs="宋体"/>
          <w:color w:val="333333"/>
          <w:spacing w:val="15"/>
          <w:kern w:val="0"/>
          <w:sz w:val="24"/>
          <w:szCs w:val="24"/>
        </w:rPr>
      </w:pPr>
      <w:r>
        <w:rPr>
          <w:rStyle w:val="a4"/>
          <w:rFonts w:ascii="微软雅黑" w:eastAsia="微软雅黑" w:hAnsi="微软雅黑"/>
          <w:color w:val="333333"/>
          <w:spacing w:val="15"/>
        </w:rPr>
        <w:br w:type="page"/>
      </w:r>
    </w:p>
    <w:p w:rsidR="00561C5A" w:rsidRDefault="00561C5A" w:rsidP="00561C5A">
      <w:pPr>
        <w:pStyle w:val="a3"/>
        <w:shd w:val="clear" w:color="auto" w:fill="FFFFFF"/>
        <w:spacing w:before="0" w:beforeAutospacing="0" w:after="0" w:afterAutospacing="0"/>
        <w:jc w:val="center"/>
        <w:rPr>
          <w:rFonts w:ascii="微软雅黑" w:eastAsia="微软雅黑" w:hAnsi="微软雅黑"/>
          <w:color w:val="333333"/>
          <w:spacing w:val="15"/>
        </w:rPr>
      </w:pPr>
      <w:r>
        <w:rPr>
          <w:rStyle w:val="a4"/>
          <w:rFonts w:ascii="微软雅黑" w:eastAsia="微软雅黑" w:hAnsi="微软雅黑" w:hint="eastAsia"/>
          <w:color w:val="333333"/>
          <w:spacing w:val="15"/>
        </w:rPr>
        <w:lastRenderedPageBreak/>
        <w:t>国家自然科学基金资助项目资金管理办法</w:t>
      </w:r>
    </w:p>
    <w:p w:rsidR="00561C5A" w:rsidRDefault="00561C5A" w:rsidP="00561C5A">
      <w:pPr>
        <w:pStyle w:val="a3"/>
        <w:shd w:val="clear" w:color="auto" w:fill="FFFFFF"/>
        <w:spacing w:before="0" w:beforeAutospacing="0" w:after="0" w:afterAutospacing="0"/>
        <w:jc w:val="both"/>
        <w:rPr>
          <w:rFonts w:ascii="微软雅黑" w:eastAsia="微软雅黑" w:hAnsi="微软雅黑"/>
          <w:color w:val="333333"/>
          <w:spacing w:val="15"/>
        </w:rPr>
      </w:pPr>
    </w:p>
    <w:p w:rsidR="00561C5A" w:rsidRDefault="00561C5A" w:rsidP="00561C5A">
      <w:pPr>
        <w:pStyle w:val="a3"/>
        <w:shd w:val="clear" w:color="auto" w:fill="FFFFFF"/>
        <w:spacing w:before="0" w:beforeAutospacing="0" w:after="0" w:afterAutospacing="0"/>
        <w:jc w:val="center"/>
        <w:rPr>
          <w:rFonts w:ascii="微软雅黑" w:eastAsia="微软雅黑" w:hAnsi="微软雅黑"/>
          <w:color w:val="333333"/>
          <w:spacing w:val="15"/>
        </w:rPr>
      </w:pPr>
      <w:r>
        <w:rPr>
          <w:rStyle w:val="a4"/>
          <w:rFonts w:ascii="微软雅黑" w:eastAsia="微软雅黑" w:hAnsi="微软雅黑" w:hint="eastAsia"/>
          <w:color w:val="333333"/>
          <w:spacing w:val="15"/>
        </w:rPr>
        <w:t>第一章  总 则</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第一条</w:t>
      </w:r>
      <w:r>
        <w:rPr>
          <w:rFonts w:ascii="微软雅黑" w:eastAsia="微软雅黑" w:hAnsi="微软雅黑" w:hint="eastAsia"/>
          <w:color w:val="333333"/>
          <w:spacing w:val="15"/>
        </w:rPr>
        <w:t>  为规范国家自然科学基金资助项目（以下简称项目）资金管理和使用，提高资金使用效益，根据《国家自然科学基金条例》、《中共中央办公厅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第二条</w:t>
      </w:r>
      <w:r>
        <w:rPr>
          <w:rFonts w:ascii="微软雅黑" w:eastAsia="微软雅黑" w:hAnsi="微软雅黑" w:hint="eastAsia"/>
          <w:color w:val="333333"/>
          <w:spacing w:val="15"/>
        </w:rPr>
        <w:t>  本办法所称项目资金，是指自然科学基金用于资助科学技术人员开展基础研究和科学前沿探索，支持人才和团队建设的专项资金。</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第三条</w:t>
      </w:r>
      <w:r>
        <w:rPr>
          <w:rFonts w:ascii="微软雅黑" w:eastAsia="微软雅黑" w:hAnsi="微软雅黑" w:hint="eastAsia"/>
          <w:color w:val="333333"/>
          <w:spacing w:val="15"/>
        </w:rPr>
        <w:t>  财政部根据国家科技发展规划，结合自然科学基金资金需求和国家财力可能，将项目资金列入中央财政预算，并负责宏观管理和监督。</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第四条</w:t>
      </w:r>
      <w:r>
        <w:rPr>
          <w:rStyle w:val="apple-converted-space"/>
          <w:rFonts w:ascii="微软雅黑" w:eastAsia="微软雅黑" w:hAnsi="微软雅黑" w:hint="eastAsia"/>
          <w:color w:val="333333"/>
          <w:spacing w:val="15"/>
        </w:rPr>
        <w:t> </w:t>
      </w:r>
      <w:r>
        <w:rPr>
          <w:rFonts w:ascii="微软雅黑" w:eastAsia="微软雅黑" w:hAnsi="微软雅黑" w:hint="eastAsia"/>
          <w:color w:val="333333"/>
          <w:spacing w:val="15"/>
        </w:rPr>
        <w:t> 国家自然科学基金委员会（以下简称自然科学基金委）依法负责项目的立项和审批，并对项目资金进行具体管理和监督。</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第五条</w:t>
      </w:r>
      <w:r>
        <w:rPr>
          <w:rStyle w:val="apple-converted-space"/>
          <w:rFonts w:ascii="微软雅黑" w:eastAsia="微软雅黑" w:hAnsi="微软雅黑" w:hint="eastAsia"/>
          <w:color w:val="333333"/>
          <w:spacing w:val="15"/>
        </w:rPr>
        <w:t> </w:t>
      </w:r>
      <w:r>
        <w:rPr>
          <w:rFonts w:ascii="微软雅黑" w:eastAsia="微软雅黑" w:hAnsi="微软雅黑" w:hint="eastAsia"/>
          <w:color w:val="333333"/>
          <w:spacing w:val="15"/>
        </w:rPr>
        <w:t>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依托单位应当落实项目承诺的自筹资金及其他配套条件，对项目组织实施提供条件保障。</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第六条</w:t>
      </w:r>
      <w:r>
        <w:rPr>
          <w:rFonts w:ascii="微软雅黑" w:eastAsia="微软雅黑" w:hAnsi="微软雅黑" w:hint="eastAsia"/>
          <w:color w:val="333333"/>
          <w:spacing w:val="15"/>
        </w:rPr>
        <w:t>  项目负责人是项目资金使用的直接责任人，对资金使用的合</w:t>
      </w:r>
      <w:proofErr w:type="gramStart"/>
      <w:r>
        <w:rPr>
          <w:rFonts w:ascii="微软雅黑" w:eastAsia="微软雅黑" w:hAnsi="微软雅黑" w:hint="eastAsia"/>
          <w:color w:val="333333"/>
          <w:spacing w:val="15"/>
        </w:rPr>
        <w:t>规</w:t>
      </w:r>
      <w:proofErr w:type="gramEnd"/>
      <w:r>
        <w:rPr>
          <w:rFonts w:ascii="微软雅黑" w:eastAsia="微软雅黑" w:hAnsi="微软雅黑" w:hint="eastAsia"/>
          <w:color w:val="333333"/>
          <w:spacing w:val="15"/>
        </w:rPr>
        <w:t>性、合理性、真实性和相关性负责。</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第七条</w:t>
      </w:r>
      <w:r>
        <w:rPr>
          <w:rStyle w:val="apple-converted-space"/>
          <w:rFonts w:ascii="微软雅黑" w:eastAsia="微软雅黑" w:hAnsi="微软雅黑" w:hint="eastAsia"/>
          <w:color w:val="333333"/>
          <w:spacing w:val="15"/>
        </w:rPr>
        <w:t> </w:t>
      </w:r>
      <w:r>
        <w:rPr>
          <w:rFonts w:ascii="微软雅黑" w:eastAsia="微软雅黑" w:hAnsi="微软雅黑" w:hint="eastAsia"/>
          <w:color w:val="333333"/>
          <w:spacing w:val="15"/>
        </w:rPr>
        <w:t> 根据预算管理方式不同，自然科学基金项目资金管理分为包干制和预算制。</w:t>
      </w:r>
    </w:p>
    <w:p w:rsidR="00561C5A" w:rsidRDefault="00561C5A" w:rsidP="001A55A0">
      <w:pPr>
        <w:pStyle w:val="a3"/>
        <w:shd w:val="clear" w:color="auto" w:fill="FFFFFF"/>
        <w:spacing w:before="0" w:beforeAutospacing="0" w:after="0" w:afterAutospacing="0"/>
        <w:ind w:firstLine="480"/>
        <w:jc w:val="center"/>
        <w:rPr>
          <w:rFonts w:ascii="微软雅黑" w:eastAsia="微软雅黑" w:hAnsi="微软雅黑"/>
          <w:color w:val="333333"/>
          <w:spacing w:val="15"/>
        </w:rPr>
      </w:pPr>
      <w:r>
        <w:rPr>
          <w:rStyle w:val="a4"/>
          <w:rFonts w:ascii="微软雅黑" w:eastAsia="微软雅黑" w:hAnsi="微软雅黑" w:hint="eastAsia"/>
          <w:color w:val="333333"/>
          <w:spacing w:val="15"/>
        </w:rPr>
        <w:t>第二章  项目资金开支范围</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第八条</w:t>
      </w:r>
      <w:r>
        <w:rPr>
          <w:rFonts w:ascii="微软雅黑" w:eastAsia="微软雅黑" w:hAnsi="微软雅黑" w:hint="eastAsia"/>
          <w:color w:val="333333"/>
          <w:spacing w:val="15"/>
        </w:rPr>
        <w:t>  项目资金支出是指与项目研究工作相关的、由项目资金支付的各项费用支出。项目资金由直接费用和间接费用组成。</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第九条</w:t>
      </w:r>
      <w:r>
        <w:rPr>
          <w:rStyle w:val="apple-converted-space"/>
          <w:rFonts w:ascii="微软雅黑" w:eastAsia="微软雅黑" w:hAnsi="微软雅黑" w:hint="eastAsia"/>
          <w:color w:val="333333"/>
          <w:spacing w:val="15"/>
        </w:rPr>
        <w:t> </w:t>
      </w:r>
      <w:r>
        <w:rPr>
          <w:rFonts w:ascii="微软雅黑" w:eastAsia="微软雅黑" w:hAnsi="微软雅黑" w:hint="eastAsia"/>
          <w:color w:val="333333"/>
          <w:spacing w:val="15"/>
        </w:rPr>
        <w:t> 直接费用是指在项目实施过程中发生的与之直接相关的费用，主要包括：</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（三）劳务费：是指在项目实施过程中支付给参与项目研究的研究生、博士后、访问学者以及项目聘用的研究人员、科研辅助人员等的劳务性费用，以及支付给临时聘请的咨询专家的费用等。</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项目聘用人员的劳务费开支标准，参照当地科学研究和技术服务业从业人员平均工资水平，根据其在项目研究中承担的工作任务确定，其由单位缴纳的社会保险补助、住房公积金等纳入劳务费科目列支。</w:t>
      </w:r>
    </w:p>
    <w:p w:rsidR="00561C5A" w:rsidRDefault="00561C5A" w:rsidP="0078520A">
      <w:pPr>
        <w:pStyle w:val="a3"/>
        <w:shd w:val="clear" w:color="auto" w:fill="FFFFFF"/>
        <w:spacing w:before="0" w:beforeAutospacing="0" w:after="0" w:afterAutospacing="0"/>
        <w:ind w:firstLineChars="200" w:firstLine="540"/>
        <w:jc w:val="both"/>
        <w:rPr>
          <w:rFonts w:ascii="微软雅黑" w:eastAsia="微软雅黑" w:hAnsi="微软雅黑"/>
          <w:color w:val="333333"/>
          <w:spacing w:val="15"/>
        </w:rPr>
      </w:pPr>
      <w:r>
        <w:rPr>
          <w:rFonts w:ascii="微软雅黑" w:eastAsia="微软雅黑" w:hAnsi="微软雅黑" w:hint="eastAsia"/>
          <w:color w:val="333333"/>
          <w:spacing w:val="15"/>
        </w:rPr>
        <w:t>支付给临时聘请的咨询专家的费用，不得支付给参与本项目及所属课题研究和管理的相关人员，其管理按照国家有关规定执行。</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第十条</w:t>
      </w:r>
      <w:r>
        <w:rPr>
          <w:rFonts w:ascii="微软雅黑" w:eastAsia="微软雅黑" w:hAnsi="微软雅黑" w:hint="eastAsia"/>
          <w:color w:val="333333"/>
          <w:spacing w:val="15"/>
        </w:rPr>
        <w:t>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561C5A" w:rsidRDefault="00561C5A" w:rsidP="001A55A0">
      <w:pPr>
        <w:pStyle w:val="a3"/>
        <w:shd w:val="clear" w:color="auto" w:fill="FFFFFF"/>
        <w:spacing w:before="0" w:beforeAutospacing="0" w:after="0" w:afterAutospacing="0"/>
        <w:ind w:firstLine="480"/>
        <w:jc w:val="center"/>
        <w:rPr>
          <w:rFonts w:ascii="微软雅黑" w:eastAsia="微软雅黑" w:hAnsi="微软雅黑"/>
          <w:color w:val="333333"/>
          <w:spacing w:val="15"/>
        </w:rPr>
      </w:pPr>
      <w:r>
        <w:rPr>
          <w:rStyle w:val="a4"/>
          <w:rFonts w:ascii="微软雅黑" w:eastAsia="微软雅黑" w:hAnsi="微软雅黑" w:hint="eastAsia"/>
          <w:color w:val="333333"/>
          <w:spacing w:val="15"/>
        </w:rPr>
        <w:t>第三章  包干制项目资金申请与审批</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第十一条</w:t>
      </w:r>
      <w:r>
        <w:rPr>
          <w:rFonts w:ascii="微软雅黑" w:eastAsia="微软雅黑" w:hAnsi="微软雅黑" w:hint="eastAsia"/>
          <w:color w:val="333333"/>
          <w:spacing w:val="15"/>
        </w:rPr>
        <w:t>  包干制项目申请人应当本着科学、合理、规范、有效的原则申请资助额度，无需编制项目预算。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多个单位共同承担一个项目的，由项目申请人汇总申请资助额度。</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第十二条</w:t>
      </w:r>
      <w:r>
        <w:rPr>
          <w:rStyle w:val="apple-converted-space"/>
          <w:rFonts w:ascii="微软雅黑" w:eastAsia="微软雅黑" w:hAnsi="微软雅黑" w:hint="eastAsia"/>
          <w:color w:val="333333"/>
          <w:spacing w:val="15"/>
        </w:rPr>
        <w:t> </w:t>
      </w:r>
      <w:r>
        <w:rPr>
          <w:rFonts w:ascii="微软雅黑" w:eastAsia="微软雅黑" w:hAnsi="微软雅黑" w:hint="eastAsia"/>
          <w:color w:val="333333"/>
          <w:spacing w:val="15"/>
        </w:rPr>
        <w:t> 自然科学基金委组织专家对包干制项目和申请资助额度进行评审,根据专家评审意见并参考同类项目平均资助强度确定项目资助额度。</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第十三条</w:t>
      </w:r>
      <w:r>
        <w:rPr>
          <w:rFonts w:ascii="微软雅黑" w:eastAsia="微软雅黑" w:hAnsi="微软雅黑" w:hint="eastAsia"/>
          <w:color w:val="333333"/>
          <w:spacing w:val="15"/>
        </w:rPr>
        <w:t>  包干制项目资金由项目负责人自主决定使用，按照本办法第九条规定的开支范围列支，无需履行调剂程序。</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对于依托单位为项目研究提供的房屋占用，日常水、电、气、暖等消耗，有关管理费用的补助支出，由依托单位根据实际管理需要，在充分征求项目负责人意见基础上合理确定。</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对于激励科研人员的绩效支出，由项目负责人根据实际科研需要和相关薪酬标准自主确定，依托单位按照工资制度进行管理。</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第十四条</w:t>
      </w:r>
      <w:r>
        <w:rPr>
          <w:rFonts w:ascii="微软雅黑" w:eastAsia="微软雅黑" w:hAnsi="微软雅黑" w:hint="eastAsia"/>
          <w:color w:val="333333"/>
          <w:spacing w:val="15"/>
        </w:rPr>
        <w:t>  项目资金应当纳入依托单位财务统一管理，单独核算，专款专用。</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第十五条</w:t>
      </w:r>
      <w:r>
        <w:rPr>
          <w:rFonts w:ascii="微软雅黑" w:eastAsia="微软雅黑" w:hAnsi="微软雅黑" w:hint="eastAsia"/>
          <w:color w:val="333333"/>
          <w:spacing w:val="15"/>
        </w:rPr>
        <w:t>  依托单位应当制定项目经费包干制管理规定，管理规定应当包括经费使用范围和标准、各方责任、违规惩戒措施等内容，报自然科学基金委备案。</w:t>
      </w:r>
    </w:p>
    <w:p w:rsidR="00561C5A" w:rsidRDefault="00561C5A" w:rsidP="001A55A0">
      <w:pPr>
        <w:pStyle w:val="a3"/>
        <w:shd w:val="clear" w:color="auto" w:fill="FFFFFF"/>
        <w:spacing w:before="0" w:beforeAutospacing="0" w:after="0" w:afterAutospacing="0"/>
        <w:ind w:firstLine="480"/>
        <w:jc w:val="center"/>
        <w:rPr>
          <w:rFonts w:ascii="微软雅黑" w:eastAsia="微软雅黑" w:hAnsi="微软雅黑"/>
          <w:color w:val="333333"/>
          <w:spacing w:val="15"/>
        </w:rPr>
      </w:pPr>
      <w:r>
        <w:rPr>
          <w:rStyle w:val="a4"/>
          <w:rFonts w:ascii="微软雅黑" w:eastAsia="微软雅黑" w:hAnsi="微软雅黑" w:hint="eastAsia"/>
          <w:color w:val="333333"/>
          <w:spacing w:val="15"/>
        </w:rPr>
        <w:t>第四章  预算</w:t>
      </w:r>
      <w:proofErr w:type="gramStart"/>
      <w:r>
        <w:rPr>
          <w:rStyle w:val="a4"/>
          <w:rFonts w:ascii="微软雅黑" w:eastAsia="微软雅黑" w:hAnsi="微软雅黑" w:hint="eastAsia"/>
          <w:color w:val="333333"/>
          <w:spacing w:val="15"/>
        </w:rPr>
        <w:t>制项目</w:t>
      </w:r>
      <w:proofErr w:type="gramEnd"/>
      <w:r>
        <w:rPr>
          <w:rStyle w:val="a4"/>
          <w:rFonts w:ascii="微软雅黑" w:eastAsia="微软雅黑" w:hAnsi="微软雅黑" w:hint="eastAsia"/>
          <w:color w:val="333333"/>
          <w:spacing w:val="15"/>
        </w:rPr>
        <w:t>资金申请与审批</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第十六条</w:t>
      </w:r>
      <w:r>
        <w:rPr>
          <w:rFonts w:ascii="微软雅黑" w:eastAsia="微软雅黑" w:hAnsi="微软雅黑" w:hint="eastAsia"/>
          <w:color w:val="333333"/>
          <w:spacing w:val="15"/>
        </w:rPr>
        <w:t>  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负责人（或申请人）应当根据政策相符性、目标相关性和经济合理性原则，编制项目收入预算和支出预算。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收入预算应当按照从各种不同渠道获得的资金总额填列。包括自然科学基金资助的资金以及从依托单位和其他渠道获得的资金。</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支出预算应当根据项目需求，按照资金开支范围编列。直接费用中除50万元以上的设备费外，其他费用只提供基本测算说明，不需要提供明细。</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第十七条</w:t>
      </w:r>
      <w:r>
        <w:rPr>
          <w:rFonts w:ascii="微软雅黑" w:eastAsia="微软雅黑" w:hAnsi="微软雅黑" w:hint="eastAsia"/>
          <w:color w:val="333333"/>
          <w:spacing w:val="15"/>
        </w:rPr>
        <w:t>  对于预算制项目，依托单位应当组织其科研和财务管理部门对项目预算进行审核。</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有多个单位共同承担一个项目的，依托单位的项目负责人（或申请人）和合作研究单位参与者应当根据各自承担的研究任务分别编报项目</w:t>
      </w:r>
      <w:r>
        <w:rPr>
          <w:rFonts w:ascii="微软雅黑" w:eastAsia="微软雅黑" w:hAnsi="微软雅黑" w:hint="eastAsia"/>
          <w:color w:val="333333"/>
          <w:spacing w:val="15"/>
        </w:rPr>
        <w:lastRenderedPageBreak/>
        <w:t>预算，经所在单位科研、财务部门审核并签署意见后，由项目负责人（或申请人）汇总编制。</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第十八条</w:t>
      </w:r>
      <w:r>
        <w:rPr>
          <w:rFonts w:ascii="微软雅黑" w:eastAsia="微软雅黑" w:hAnsi="微软雅黑" w:hint="eastAsia"/>
          <w:color w:val="333333"/>
          <w:spacing w:val="15"/>
        </w:rPr>
        <w:t>  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申请人申请自然科学基金项目，应当按照本办法中对于直接费用的规定编制项目预算，经依托单位审核后提交自然科学基金委。</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第十九条</w:t>
      </w:r>
      <w:r>
        <w:rPr>
          <w:rFonts w:ascii="微软雅黑" w:eastAsia="微软雅黑" w:hAnsi="微软雅黑" w:hint="eastAsia"/>
          <w:color w:val="333333"/>
          <w:spacing w:val="15"/>
        </w:rPr>
        <w:t>  自然科学基金委组织专家或者择优遴选第三方对预算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进行项目评审并同步开展预算评审,根据项目实际需求确定预算。评审专家应满足相关回避要求。</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预算评审应当按照规范的程序和要求，坚持独立、客观、公正、科学的原则，对项目申报预算的政策相符性、目标相关性和经济合理性进行评审。不得将预算编制细致程度作为评审预算的因素，不得简单按比例核减预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第二十条</w:t>
      </w:r>
      <w:r>
        <w:rPr>
          <w:rFonts w:ascii="微软雅黑" w:eastAsia="微软雅黑" w:hAnsi="微软雅黑" w:hint="eastAsia"/>
          <w:color w:val="333333"/>
          <w:spacing w:val="15"/>
        </w:rPr>
        <w:t>  依托单位应当组织预算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负责人根据批准的项目资助额度，按规定调整项目预算，并在收到资助通知之日起20日内完成审核，报自然科学基金委核准。</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第二十一条</w:t>
      </w:r>
      <w:r>
        <w:rPr>
          <w:rFonts w:ascii="微软雅黑" w:eastAsia="微软雅黑" w:hAnsi="微软雅黑" w:hint="eastAsia"/>
          <w:color w:val="333333"/>
          <w:spacing w:val="15"/>
        </w:rPr>
        <w:t>  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的直接费用应当纳入依托单位财务统一管理，单独核算，专款专用。</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的间接费用由依托单位统筹安排使用。依托单位应当建立健全间接费用的内部管理办法，公开透明、合</w:t>
      </w:r>
      <w:proofErr w:type="gramStart"/>
      <w:r>
        <w:rPr>
          <w:rFonts w:ascii="微软雅黑" w:eastAsia="微软雅黑" w:hAnsi="微软雅黑" w:hint="eastAsia"/>
          <w:color w:val="333333"/>
          <w:spacing w:val="15"/>
        </w:rPr>
        <w:t>规</w:t>
      </w:r>
      <w:proofErr w:type="gramEnd"/>
      <w:r>
        <w:rPr>
          <w:rFonts w:ascii="微软雅黑" w:eastAsia="微软雅黑" w:hAnsi="微软雅黑" w:hint="eastAsia"/>
          <w:color w:val="333333"/>
          <w:spacing w:val="15"/>
        </w:rPr>
        <w:t>合理使用间接费用，处理好分摊间接成本和对科研人员激励的关系。绩效支出安排应当与科研人员在项目工作中的实际贡献挂钩。依托单位可将间接费用全部用于</w:t>
      </w:r>
      <w:r>
        <w:rPr>
          <w:rFonts w:ascii="微软雅黑" w:eastAsia="微软雅黑" w:hAnsi="微软雅黑" w:hint="eastAsia"/>
          <w:color w:val="333333"/>
          <w:spacing w:val="15"/>
        </w:rPr>
        <w:lastRenderedPageBreak/>
        <w:t>绩效支出，并向创新绩效突出的团队和个人倾斜。依托单位不得在间接费用以外，再以任何名义在项目资金中重复提取、列支相关费用。</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第二十二条</w:t>
      </w:r>
      <w:r>
        <w:rPr>
          <w:rFonts w:ascii="微软雅黑" w:eastAsia="微软雅黑" w:hAnsi="微软雅黑" w:hint="eastAsia"/>
          <w:color w:val="333333"/>
          <w:spacing w:val="15"/>
        </w:rPr>
        <w:t>  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的间接费用一般按照不超过项目直接费用扣除设备购置费后的一定比例核定，并实行总额控制，具体比例如下：</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（一）500万元及以下部分为30%；</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（二）超过500万元至1000万元的部分为25%；</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（三）超过1000万元的部分为20%。</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其中，对于数学等纯理论基础研究的预算制项目，间接费用一般按照不超过项目直接费用扣除设备购置费后的一定比例核定，并实行总额控制，具体比例如下：</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（一）500万元及以下部分为60%；</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（二）超过500万元至1000万元的部分为50%；</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（三）超过1000万元的部分为40%。</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第二十三条</w:t>
      </w:r>
      <w:r>
        <w:rPr>
          <w:rFonts w:ascii="微软雅黑" w:eastAsia="微软雅黑" w:hAnsi="微软雅黑" w:hint="eastAsia"/>
          <w:color w:val="333333"/>
          <w:spacing w:val="15"/>
        </w:rPr>
        <w:t>  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实施过程中，项目预算有以下情况确需调剂的，应当按相关程序报自然科学基金委审批。</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（一）由于研究内容或者研究计划</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重大调整等原因需要对预算总额进行调剂的；</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（二）同一项目课题之间资金需要调剂的。</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第二十四条</w:t>
      </w:r>
      <w:r>
        <w:rPr>
          <w:rFonts w:ascii="微软雅黑" w:eastAsia="微软雅黑" w:hAnsi="微软雅黑" w:hint="eastAsia"/>
          <w:color w:val="333333"/>
          <w:spacing w:val="15"/>
        </w:rPr>
        <w:t>  预算</w:t>
      </w:r>
      <w:proofErr w:type="gramStart"/>
      <w:r>
        <w:rPr>
          <w:rFonts w:ascii="微软雅黑" w:eastAsia="微软雅黑" w:hAnsi="微软雅黑" w:hint="eastAsia"/>
          <w:color w:val="333333"/>
          <w:spacing w:val="15"/>
        </w:rPr>
        <w:t>制项目</w:t>
      </w:r>
      <w:proofErr w:type="gramEnd"/>
      <w:r>
        <w:rPr>
          <w:rFonts w:ascii="微软雅黑" w:eastAsia="微软雅黑" w:hAnsi="微软雅黑" w:hint="eastAsia"/>
          <w:color w:val="333333"/>
          <w:spacing w:val="15"/>
        </w:rPr>
        <w:t>实施过程中，在项目预算额度不变的情况下，预算确需调剂的，按以下规定予以调剂：</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（一）设备费预算如需调剂，由项目负责人根据科研活动的实际需要提出申请，报依托单位审批。依托单位应当统筹考虑现有设备配置情况、科研项目实际需求等，及时办理调剂手续。</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（二）劳务费、业务费预算如需调剂，由项目负责人根据科研活动实际需要自主安排。</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（三）项目间接费用预算总额不得调增，依托单位与项目负责人协商一致后可调减用于直接费用。</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第二十五条</w:t>
      </w:r>
      <w:r>
        <w:rPr>
          <w:rFonts w:ascii="微软雅黑" w:eastAsia="微软雅黑" w:hAnsi="微软雅黑" w:hint="eastAsia"/>
          <w:color w:val="333333"/>
          <w:spacing w:val="15"/>
        </w:rPr>
        <w:t>  对于需开展中期项目检查的预算制项目，可由自然科学基金委组织专家同步对资金的使用进行检查或评估。</w:t>
      </w:r>
    </w:p>
    <w:p w:rsidR="00561C5A" w:rsidRDefault="00561C5A" w:rsidP="001A55A0">
      <w:pPr>
        <w:pStyle w:val="a3"/>
        <w:shd w:val="clear" w:color="auto" w:fill="FFFFFF"/>
        <w:spacing w:before="0" w:beforeAutospacing="0" w:after="0" w:afterAutospacing="0"/>
        <w:ind w:firstLine="480"/>
        <w:jc w:val="center"/>
        <w:rPr>
          <w:rFonts w:ascii="微软雅黑" w:eastAsia="微软雅黑" w:hAnsi="微软雅黑"/>
          <w:color w:val="333333"/>
          <w:spacing w:val="15"/>
        </w:rPr>
      </w:pPr>
      <w:r>
        <w:rPr>
          <w:rStyle w:val="a4"/>
          <w:rFonts w:ascii="微软雅黑" w:eastAsia="微软雅黑" w:hAnsi="微软雅黑" w:hint="eastAsia"/>
          <w:color w:val="333333"/>
          <w:spacing w:val="15"/>
        </w:rPr>
        <w:t>第五章  预算执行与决算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第二十六条</w:t>
      </w:r>
      <w:r>
        <w:rPr>
          <w:rFonts w:ascii="微软雅黑" w:eastAsia="微软雅黑" w:hAnsi="微软雅黑" w:hint="eastAsia"/>
          <w:color w:val="333333"/>
          <w:spacing w:val="15"/>
        </w:rPr>
        <w:t>  自然科学基金委应当按照国库集中支付制度规定，根据不同类型科研项目特点、研究进度、资金需求等，合理制定经费拨付计划并在资助项目计划</w:t>
      </w:r>
      <w:proofErr w:type="gramStart"/>
      <w:r>
        <w:rPr>
          <w:rFonts w:ascii="微软雅黑" w:eastAsia="微软雅黑" w:hAnsi="微软雅黑" w:hint="eastAsia"/>
          <w:color w:val="333333"/>
          <w:spacing w:val="15"/>
        </w:rPr>
        <w:t>书签订</w:t>
      </w:r>
      <w:proofErr w:type="gramEnd"/>
      <w:r>
        <w:rPr>
          <w:rFonts w:ascii="微软雅黑" w:eastAsia="微软雅黑" w:hAnsi="微软雅黑" w:hint="eastAsia"/>
          <w:color w:val="333333"/>
          <w:spacing w:val="15"/>
        </w:rPr>
        <w:t>后30日内，将经费按计划拨付至依托单位，切实保障科研活动需要。</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有多个单位共同承担一个项目的，依托单位应当及时按资助项目计划书和合同转拨合作研究单位资金，并加强对转拨资金的监督管理。</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项目负责人应当结合科研活动需要，科学合理安排项目资金支出进度。依托单位应当关注项目资金执行进度，有效提高资金使用效益。</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第二十七条</w:t>
      </w:r>
      <w:r>
        <w:rPr>
          <w:rFonts w:ascii="微软雅黑" w:eastAsia="微软雅黑" w:hAnsi="微软雅黑" w:hint="eastAsia"/>
          <w:color w:val="333333"/>
          <w:spacing w:val="15"/>
        </w:rPr>
        <w:t>  项目资金管理使用不得存在以下行为：</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（一）编报虚假预算；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（二）未对项目资金进行单独核算；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（三）列支与本项目任务无关的支出；</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（四）未按规定执行和调剂预算、违反规定转拨项目资金；</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（五）虚假承诺其他来源资金；</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（六）通过虚假合同、虚假票据、虚构事项、虚报人员等弄虚作假，转移、套取、报销项目资金；</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（七）截留、挤占、挪用项目资金；</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（八）设置账外账、随意调账变动支出、随意修改记账凭证、提供虚假财务会计资料等；</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（九）使用项目资金列支应当由个人负担的有关费用和支付各种罚款、捐款、赞助、投资、偿还债务等；</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（十）其他违反国家财经纪律的行为。</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第二十八条</w:t>
      </w:r>
      <w:r>
        <w:rPr>
          <w:rFonts w:ascii="微软雅黑" w:eastAsia="微软雅黑" w:hAnsi="微软雅黑" w:hint="eastAsia"/>
          <w:color w:val="333333"/>
          <w:spacing w:val="15"/>
        </w:rPr>
        <w:t>  项目资助期满后，项目负责人应当会同科研、财务、资产等管理部门及时清理账目与资产，如实编制项目决算。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有多个单位共同承担一个项目的，依托单位的项目负责人和合作研究单位的参与者应当分别编报项目决算，经所在单位科研、财务管理部门审核并签署意见后，由依托单位项目负责人汇总编制。</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依托单位应当组织其科研、财务管理部门审核项目决算，并签署意见后报自然科学基金委。</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第二十九条</w:t>
      </w:r>
      <w:r>
        <w:rPr>
          <w:rFonts w:ascii="微软雅黑" w:eastAsia="微软雅黑" w:hAnsi="微软雅黑" w:hint="eastAsia"/>
          <w:color w:val="333333"/>
          <w:spacing w:val="15"/>
        </w:rPr>
        <w:t>  自然科学基金委准予结题的项目，结余资金留归依</w:t>
      </w:r>
      <w:proofErr w:type="gramStart"/>
      <w:r>
        <w:rPr>
          <w:rFonts w:ascii="微软雅黑" w:eastAsia="微软雅黑" w:hAnsi="微软雅黑" w:hint="eastAsia"/>
          <w:color w:val="333333"/>
          <w:spacing w:val="15"/>
        </w:rPr>
        <w:t>托单位</w:t>
      </w:r>
      <w:proofErr w:type="gramEnd"/>
      <w:r>
        <w:rPr>
          <w:rFonts w:ascii="微软雅黑" w:eastAsia="微软雅黑" w:hAnsi="微软雅黑" w:hint="eastAsia"/>
          <w:color w:val="333333"/>
          <w:spacing w:val="15"/>
        </w:rPr>
        <w:t>使用。依托单位应当将结余资金统筹安排用于基础研究直接支出，优先考虑原项目团队科研需求，并加强结余资金管理，健全结余资金盘活机制，加快资金使用进度。</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自然科学基金委不予结题的项目，依托单位应当负责将结余资金在通知书下达后30日内按原渠道退回自然科学基金委。</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第三十条</w:t>
      </w:r>
      <w:r>
        <w:rPr>
          <w:rFonts w:ascii="微软雅黑" w:eastAsia="微软雅黑" w:hAnsi="微软雅黑" w:hint="eastAsia"/>
          <w:color w:val="333333"/>
          <w:spacing w:val="15"/>
        </w:rPr>
        <w:t>  项目实施过程中，因故终止执行的项目，依托单位应当负责将结余资金按原渠道退回自然科学基金委。</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因故被依法撤销的项目，依托单位应当负责将已拨付的资金全部按原渠道退回自然科学基金委。</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依托单位发生变更的项目，原依托单位应当及时向新依托单位转拨需转拨的项目资金。</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第三十一条</w:t>
      </w:r>
      <w:r>
        <w:rPr>
          <w:rFonts w:ascii="微软雅黑" w:eastAsia="微软雅黑" w:hAnsi="微软雅黑" w:hint="eastAsia"/>
          <w:color w:val="333333"/>
          <w:spacing w:val="15"/>
        </w:rPr>
        <w:t>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第三十二条</w:t>
      </w:r>
      <w:r>
        <w:rPr>
          <w:rFonts w:ascii="微软雅黑" w:eastAsia="微软雅黑" w:hAnsi="微软雅黑" w:hint="eastAsia"/>
          <w:color w:val="333333"/>
          <w:spacing w:val="15"/>
        </w:rPr>
        <w:t>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第三十三条</w:t>
      </w:r>
      <w:r>
        <w:rPr>
          <w:rFonts w:ascii="微软雅黑" w:eastAsia="微软雅黑" w:hAnsi="微软雅黑" w:hint="eastAsia"/>
          <w:color w:val="333333"/>
          <w:spacing w:val="15"/>
        </w:rPr>
        <w:t>  依托单位应当优化和完善内部管理规定，简化科研仪器设备采购流程。对科研急需的设备和耗材采用</w:t>
      </w:r>
      <w:proofErr w:type="gramStart"/>
      <w:r>
        <w:rPr>
          <w:rFonts w:ascii="微软雅黑" w:eastAsia="微软雅黑" w:hAnsi="微软雅黑" w:hint="eastAsia"/>
          <w:color w:val="333333"/>
          <w:spacing w:val="15"/>
        </w:rPr>
        <w:t>特</w:t>
      </w:r>
      <w:proofErr w:type="gramEnd"/>
      <w:r>
        <w:rPr>
          <w:rFonts w:ascii="微软雅黑" w:eastAsia="微软雅黑" w:hAnsi="微软雅黑" w:hint="eastAsia"/>
          <w:color w:val="333333"/>
          <w:spacing w:val="15"/>
        </w:rPr>
        <w:t>事特办、随到随办的采购机制，可以不进行招标投标程序。</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第三十四条</w:t>
      </w:r>
      <w:r>
        <w:rPr>
          <w:rFonts w:ascii="微软雅黑" w:eastAsia="微软雅黑" w:hAnsi="微软雅黑" w:hint="eastAsia"/>
          <w:color w:val="333333"/>
          <w:spacing w:val="15"/>
        </w:rPr>
        <w:t>  依托单位要切实强化法人责任，制定内部管理办法，落实项目预算调剂、间接费用统筹使用、劳务费管理、结余资金使用等管理权限。</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第三十五条</w:t>
      </w:r>
      <w:r>
        <w:rPr>
          <w:rFonts w:ascii="微软雅黑" w:eastAsia="微软雅黑" w:hAnsi="微软雅黑" w:hint="eastAsia"/>
          <w:color w:val="333333"/>
          <w:spacing w:val="15"/>
        </w:rPr>
        <w:t>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rsidR="00561C5A" w:rsidRDefault="00561C5A" w:rsidP="00561C5A">
      <w:pPr>
        <w:pStyle w:val="a3"/>
        <w:shd w:val="clear" w:color="auto" w:fill="FFFFFF"/>
        <w:spacing w:before="0" w:beforeAutospacing="0" w:after="0" w:afterAutospacing="0"/>
        <w:ind w:firstLine="480"/>
        <w:jc w:val="center"/>
        <w:rPr>
          <w:rFonts w:ascii="微软雅黑" w:eastAsia="微软雅黑" w:hAnsi="微软雅黑"/>
          <w:color w:val="333333"/>
          <w:spacing w:val="15"/>
        </w:rPr>
      </w:pPr>
      <w:r>
        <w:rPr>
          <w:rStyle w:val="a4"/>
          <w:rFonts w:ascii="微软雅黑" w:eastAsia="微软雅黑" w:hAnsi="微软雅黑" w:hint="eastAsia"/>
          <w:color w:val="333333"/>
          <w:spacing w:val="15"/>
        </w:rPr>
        <w:t>第六章  绩效管理与监督检查</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bookmarkStart w:id="0" w:name="_GoBack"/>
      <w:bookmarkEnd w:id="0"/>
      <w:r>
        <w:rPr>
          <w:rStyle w:val="a4"/>
          <w:rFonts w:ascii="微软雅黑" w:eastAsia="微软雅黑" w:hAnsi="微软雅黑" w:hint="eastAsia"/>
          <w:color w:val="333333"/>
          <w:spacing w:val="15"/>
        </w:rPr>
        <w:t>第三十六条</w:t>
      </w:r>
      <w:r>
        <w:rPr>
          <w:rFonts w:ascii="微软雅黑" w:eastAsia="微软雅黑" w:hAnsi="微软雅黑" w:hint="eastAsia"/>
          <w:color w:val="333333"/>
          <w:spacing w:val="15"/>
        </w:rPr>
        <w:t>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依托单位应当切实加强绩效管理，引导科研资源向优秀人才和团队倾斜，提高科研经费使用效益。</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第三十七条</w:t>
      </w:r>
      <w:r>
        <w:rPr>
          <w:rFonts w:ascii="微软雅黑" w:eastAsia="微软雅黑" w:hAnsi="微软雅黑" w:hint="eastAsia"/>
          <w:color w:val="333333"/>
          <w:spacing w:val="15"/>
        </w:rPr>
        <w:t>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第三十八条</w:t>
      </w:r>
      <w:r>
        <w:rPr>
          <w:rFonts w:ascii="微软雅黑" w:eastAsia="微软雅黑" w:hAnsi="微软雅黑" w:hint="eastAsia"/>
          <w:color w:val="333333"/>
          <w:spacing w:val="15"/>
        </w:rPr>
        <w:t>  财政部按规定对自然科学基金项目资金管理和使用情况进行监督管理。</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第三十九条</w:t>
      </w:r>
      <w:r>
        <w:rPr>
          <w:rFonts w:ascii="微软雅黑" w:eastAsia="微软雅黑" w:hAnsi="微软雅黑" w:hint="eastAsia"/>
          <w:color w:val="333333"/>
          <w:spacing w:val="15"/>
        </w:rPr>
        <w:t>  审计署、自然科学基金委按规定对依托单位项目资金管理和使用情况进行监督检查。依托单位和项目负责人应当积极配合并提供有关资料。</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第四十条</w:t>
      </w:r>
      <w:r>
        <w:rPr>
          <w:rFonts w:ascii="微软雅黑" w:eastAsia="微软雅黑" w:hAnsi="微软雅黑" w:hint="eastAsia"/>
          <w:color w:val="333333"/>
          <w:spacing w:val="15"/>
        </w:rPr>
        <w:t>  相关主管部门应当督促所属依托单位加强内控制度和监督制约机制建设、落实项目资金管理责任，配合财政部、自然科学基金委开展监督检查和整改工作。</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第四十一条</w:t>
      </w:r>
      <w:r>
        <w:rPr>
          <w:rFonts w:ascii="微软雅黑" w:eastAsia="微软雅黑" w:hAnsi="微软雅黑" w:hint="eastAsia"/>
          <w:color w:val="333333"/>
          <w:spacing w:val="15"/>
        </w:rPr>
        <w:t>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第四十二条</w:t>
      </w:r>
      <w:r>
        <w:rPr>
          <w:rFonts w:ascii="微软雅黑" w:eastAsia="微软雅黑" w:hAnsi="微软雅黑" w:hint="eastAsia"/>
          <w:color w:val="333333"/>
          <w:spacing w:val="15"/>
        </w:rPr>
        <w:t>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lastRenderedPageBreak/>
        <w:t>对依托单位和科研人员在项目资金管理使用过程中出现的失信情况，应当纳入信用记录管理，对严重失信行为实行追责和惩戒。</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第四十三条</w:t>
      </w:r>
      <w:r>
        <w:rPr>
          <w:rFonts w:ascii="微软雅黑" w:eastAsia="微软雅黑" w:hAnsi="微软雅黑" w:hint="eastAsia"/>
          <w:color w:val="333333"/>
          <w:spacing w:val="15"/>
        </w:rPr>
        <w:t>  项目资金管理建立信息公开机制。自然科学基金委应当及时公开非涉密项目预算安排情况，接受社会监督。</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Fonts w:ascii="微软雅黑" w:eastAsia="微软雅黑" w:hAnsi="微软雅黑" w:hint="eastAsia"/>
          <w:color w:val="333333"/>
          <w:spacing w:val="15"/>
        </w:rPr>
        <w:t>依托单位应当在单位内部公开非涉密项目立项、主要研究人员、资金使用（重点是间接费用、</w:t>
      </w:r>
      <w:proofErr w:type="gramStart"/>
      <w:r>
        <w:rPr>
          <w:rFonts w:ascii="微软雅黑" w:eastAsia="微软雅黑" w:hAnsi="微软雅黑" w:hint="eastAsia"/>
          <w:color w:val="333333"/>
          <w:spacing w:val="15"/>
        </w:rPr>
        <w:t>外拨资金</w:t>
      </w:r>
      <w:proofErr w:type="gramEnd"/>
      <w:r>
        <w:rPr>
          <w:rFonts w:ascii="微软雅黑" w:eastAsia="微软雅黑" w:hAnsi="微软雅黑" w:hint="eastAsia"/>
          <w:color w:val="333333"/>
          <w:spacing w:val="15"/>
        </w:rPr>
        <w:t>、结余资金使用等）、决算、大型仪器设备购置以及项目研究成果等情况，接受内部监督。</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第四十四条</w:t>
      </w:r>
      <w:r>
        <w:rPr>
          <w:rFonts w:ascii="微软雅黑" w:eastAsia="微软雅黑" w:hAnsi="微软雅黑" w:hint="eastAsia"/>
          <w:color w:val="333333"/>
          <w:spacing w:val="15"/>
        </w:rPr>
        <w:t>  任何单位和个人发现项目资金在使用和管理过程中有违规行为的，有权检举或者控告。</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第四十五条</w:t>
      </w:r>
      <w:r>
        <w:rPr>
          <w:rFonts w:ascii="微软雅黑" w:eastAsia="微软雅黑" w:hAnsi="微软雅黑" w:hint="eastAsia"/>
          <w:color w:val="333333"/>
          <w:spacing w:val="15"/>
        </w:rPr>
        <w:t>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第四十六条</w:t>
      </w:r>
      <w:r>
        <w:rPr>
          <w:rFonts w:ascii="微软雅黑" w:eastAsia="微软雅黑" w:hAnsi="微软雅黑" w:hint="eastAsia"/>
          <w:color w:val="333333"/>
          <w:spacing w:val="15"/>
        </w:rPr>
        <w:t>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w:t>
      </w:r>
      <w:proofErr w:type="gramStart"/>
      <w:r>
        <w:rPr>
          <w:rFonts w:ascii="微软雅黑" w:eastAsia="微软雅黑" w:hAnsi="微软雅黑" w:hint="eastAsia"/>
          <w:color w:val="333333"/>
          <w:spacing w:val="15"/>
        </w:rPr>
        <w:t>》</w:t>
      </w:r>
      <w:proofErr w:type="gramEnd"/>
      <w:r>
        <w:rPr>
          <w:rFonts w:ascii="微软雅黑" w:eastAsia="微软雅黑" w:hAnsi="微软雅黑" w:hint="eastAsia"/>
          <w:color w:val="333333"/>
          <w:spacing w:val="15"/>
        </w:rPr>
        <w:t>等国家有关规定追究相应责任。涉嫌犯罪的，依法移送有关机关处理。</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lastRenderedPageBreak/>
        <w:t>第四十七条</w:t>
      </w:r>
      <w:r>
        <w:rPr>
          <w:rStyle w:val="apple-converted-space"/>
          <w:rFonts w:ascii="微软雅黑" w:eastAsia="微软雅黑" w:hAnsi="微软雅黑" w:hint="eastAsia"/>
          <w:color w:val="333333"/>
          <w:spacing w:val="15"/>
        </w:rPr>
        <w:t> </w:t>
      </w:r>
      <w:r>
        <w:rPr>
          <w:rFonts w:ascii="微软雅黑" w:eastAsia="微软雅黑" w:hAnsi="微软雅黑" w:hint="eastAsia"/>
          <w:color w:val="333333"/>
          <w:spacing w:val="15"/>
        </w:rPr>
        <w:t> 自然科学基金委对项目资金管理、监督和检查等过程中发现的问题以及收到的投诉举报依法开展调查，并依法严肃查处违规违纪行为。</w:t>
      </w:r>
    </w:p>
    <w:p w:rsidR="00561C5A" w:rsidRDefault="00561C5A" w:rsidP="001A55A0">
      <w:pPr>
        <w:pStyle w:val="a3"/>
        <w:shd w:val="clear" w:color="auto" w:fill="FFFFFF"/>
        <w:spacing w:before="0" w:beforeAutospacing="0" w:after="0" w:afterAutospacing="0"/>
        <w:ind w:firstLine="480"/>
        <w:jc w:val="center"/>
        <w:rPr>
          <w:rFonts w:ascii="微软雅黑" w:eastAsia="微软雅黑" w:hAnsi="微软雅黑"/>
          <w:color w:val="333333"/>
          <w:spacing w:val="15"/>
        </w:rPr>
      </w:pPr>
      <w:r>
        <w:rPr>
          <w:rStyle w:val="a4"/>
          <w:rFonts w:ascii="微软雅黑" w:eastAsia="微软雅黑" w:hAnsi="微软雅黑" w:hint="eastAsia"/>
          <w:color w:val="333333"/>
          <w:spacing w:val="15"/>
        </w:rPr>
        <w:t>第七章  附 则</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第四十八条 </w:t>
      </w:r>
      <w:r>
        <w:rPr>
          <w:rStyle w:val="apple-converted-space"/>
          <w:rFonts w:ascii="微软雅黑" w:eastAsia="微软雅黑" w:hAnsi="微软雅黑" w:hint="eastAsia"/>
          <w:color w:val="333333"/>
          <w:spacing w:val="15"/>
        </w:rPr>
        <w:t> </w:t>
      </w:r>
      <w:r>
        <w:rPr>
          <w:rFonts w:ascii="微软雅黑" w:eastAsia="微软雅黑" w:hAnsi="微软雅黑" w:hint="eastAsia"/>
          <w:color w:val="333333"/>
          <w:spacing w:val="15"/>
        </w:rPr>
        <w:t>本办法由财政部、自然科学基金委负责解释。</w:t>
      </w:r>
    </w:p>
    <w:p w:rsidR="00561C5A" w:rsidRDefault="00561C5A" w:rsidP="00561C5A">
      <w:pPr>
        <w:pStyle w:val="a3"/>
        <w:shd w:val="clear" w:color="auto" w:fill="FFFFFF"/>
        <w:spacing w:before="0" w:beforeAutospacing="0" w:after="0" w:afterAutospacing="0"/>
        <w:ind w:firstLine="480"/>
        <w:jc w:val="both"/>
        <w:rPr>
          <w:rFonts w:ascii="微软雅黑" w:eastAsia="微软雅黑" w:hAnsi="微软雅黑"/>
          <w:color w:val="333333"/>
          <w:spacing w:val="15"/>
        </w:rPr>
      </w:pPr>
      <w:r>
        <w:rPr>
          <w:rStyle w:val="a4"/>
          <w:rFonts w:ascii="微软雅黑" w:eastAsia="微软雅黑" w:hAnsi="微软雅黑" w:hint="eastAsia"/>
          <w:color w:val="333333"/>
          <w:spacing w:val="15"/>
        </w:rPr>
        <w:t>第四十九条</w:t>
      </w:r>
      <w:r>
        <w:rPr>
          <w:rFonts w:ascii="微软雅黑" w:eastAsia="微软雅黑" w:hAnsi="微软雅黑" w:hint="eastAsia"/>
          <w:color w:val="333333"/>
          <w:spacing w:val="15"/>
        </w:rPr>
        <w:t>  本办法自发布之日起施行。</w:t>
      </w:r>
    </w:p>
    <w:p w:rsidR="00561C5A" w:rsidRPr="00561C5A" w:rsidRDefault="00561C5A" w:rsidP="00561C5A"/>
    <w:sectPr w:rsidR="00561C5A" w:rsidRPr="00561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B1"/>
    <w:rsid w:val="000228AF"/>
    <w:rsid w:val="00025D30"/>
    <w:rsid w:val="00027C36"/>
    <w:rsid w:val="00030C7F"/>
    <w:rsid w:val="000334A3"/>
    <w:rsid w:val="000341F4"/>
    <w:rsid w:val="00037BC2"/>
    <w:rsid w:val="000412A6"/>
    <w:rsid w:val="0004414B"/>
    <w:rsid w:val="00047670"/>
    <w:rsid w:val="00052C0B"/>
    <w:rsid w:val="00054C70"/>
    <w:rsid w:val="00060DAB"/>
    <w:rsid w:val="00062AD0"/>
    <w:rsid w:val="000641BE"/>
    <w:rsid w:val="00072934"/>
    <w:rsid w:val="00086F66"/>
    <w:rsid w:val="00090CF0"/>
    <w:rsid w:val="0009451F"/>
    <w:rsid w:val="00094B7C"/>
    <w:rsid w:val="000A4A8E"/>
    <w:rsid w:val="000A66BD"/>
    <w:rsid w:val="000B2918"/>
    <w:rsid w:val="000B2BEF"/>
    <w:rsid w:val="000C236C"/>
    <w:rsid w:val="000C269E"/>
    <w:rsid w:val="000C2AD4"/>
    <w:rsid w:val="000C6FA5"/>
    <w:rsid w:val="000E0F4A"/>
    <w:rsid w:val="000E4FA8"/>
    <w:rsid w:val="000F15A3"/>
    <w:rsid w:val="000F2646"/>
    <w:rsid w:val="000F78EE"/>
    <w:rsid w:val="00101A6F"/>
    <w:rsid w:val="00112101"/>
    <w:rsid w:val="00122C4E"/>
    <w:rsid w:val="0012771B"/>
    <w:rsid w:val="00127B96"/>
    <w:rsid w:val="00136C87"/>
    <w:rsid w:val="0014077D"/>
    <w:rsid w:val="00144415"/>
    <w:rsid w:val="0014469D"/>
    <w:rsid w:val="0015083D"/>
    <w:rsid w:val="00152514"/>
    <w:rsid w:val="00152C70"/>
    <w:rsid w:val="00157DBE"/>
    <w:rsid w:val="00166F9C"/>
    <w:rsid w:val="001706DA"/>
    <w:rsid w:val="00170979"/>
    <w:rsid w:val="0017409A"/>
    <w:rsid w:val="00174977"/>
    <w:rsid w:val="001800E7"/>
    <w:rsid w:val="00193927"/>
    <w:rsid w:val="001A11A3"/>
    <w:rsid w:val="001A3867"/>
    <w:rsid w:val="001A3F89"/>
    <w:rsid w:val="001A4351"/>
    <w:rsid w:val="001A55A0"/>
    <w:rsid w:val="001B3D3F"/>
    <w:rsid w:val="001C2650"/>
    <w:rsid w:val="001C3950"/>
    <w:rsid w:val="001C70D8"/>
    <w:rsid w:val="001D5FCB"/>
    <w:rsid w:val="001E206E"/>
    <w:rsid w:val="001E26A9"/>
    <w:rsid w:val="001F07DE"/>
    <w:rsid w:val="001F0895"/>
    <w:rsid w:val="0020203D"/>
    <w:rsid w:val="00206B87"/>
    <w:rsid w:val="002164B5"/>
    <w:rsid w:val="00216DC1"/>
    <w:rsid w:val="00224579"/>
    <w:rsid w:val="00227451"/>
    <w:rsid w:val="002304FB"/>
    <w:rsid w:val="00232A1E"/>
    <w:rsid w:val="00240871"/>
    <w:rsid w:val="00241568"/>
    <w:rsid w:val="00243D61"/>
    <w:rsid w:val="00256183"/>
    <w:rsid w:val="00296A14"/>
    <w:rsid w:val="00296B58"/>
    <w:rsid w:val="002A6065"/>
    <w:rsid w:val="002A6B8E"/>
    <w:rsid w:val="002B0E80"/>
    <w:rsid w:val="002B1538"/>
    <w:rsid w:val="002C5D2A"/>
    <w:rsid w:val="002C7A6D"/>
    <w:rsid w:val="002D035B"/>
    <w:rsid w:val="002D17F1"/>
    <w:rsid w:val="002D4E7B"/>
    <w:rsid w:val="002D7D3C"/>
    <w:rsid w:val="002F12C7"/>
    <w:rsid w:val="003076B8"/>
    <w:rsid w:val="00312CED"/>
    <w:rsid w:val="00337A2E"/>
    <w:rsid w:val="003428BB"/>
    <w:rsid w:val="0036237D"/>
    <w:rsid w:val="00362A8C"/>
    <w:rsid w:val="0036738E"/>
    <w:rsid w:val="00367487"/>
    <w:rsid w:val="0038287B"/>
    <w:rsid w:val="00387DE6"/>
    <w:rsid w:val="003A0828"/>
    <w:rsid w:val="003A46B7"/>
    <w:rsid w:val="003B259D"/>
    <w:rsid w:val="003B4DAC"/>
    <w:rsid w:val="003B516A"/>
    <w:rsid w:val="003B60A0"/>
    <w:rsid w:val="003C1AF1"/>
    <w:rsid w:val="003D3FEE"/>
    <w:rsid w:val="003E5396"/>
    <w:rsid w:val="003F01E9"/>
    <w:rsid w:val="00402F92"/>
    <w:rsid w:val="00405076"/>
    <w:rsid w:val="0040515C"/>
    <w:rsid w:val="00410891"/>
    <w:rsid w:val="004112CA"/>
    <w:rsid w:val="00411F03"/>
    <w:rsid w:val="004164C4"/>
    <w:rsid w:val="00424588"/>
    <w:rsid w:val="00427995"/>
    <w:rsid w:val="004322E3"/>
    <w:rsid w:val="00433B54"/>
    <w:rsid w:val="00436646"/>
    <w:rsid w:val="00441E92"/>
    <w:rsid w:val="00444998"/>
    <w:rsid w:val="00444BAF"/>
    <w:rsid w:val="00446F03"/>
    <w:rsid w:val="00457414"/>
    <w:rsid w:val="00457BA7"/>
    <w:rsid w:val="00470D67"/>
    <w:rsid w:val="00470EF4"/>
    <w:rsid w:val="0047489D"/>
    <w:rsid w:val="004834A1"/>
    <w:rsid w:val="0048360D"/>
    <w:rsid w:val="004848CA"/>
    <w:rsid w:val="004850F6"/>
    <w:rsid w:val="004A0B90"/>
    <w:rsid w:val="004A2F81"/>
    <w:rsid w:val="004B09E4"/>
    <w:rsid w:val="004B1B45"/>
    <w:rsid w:val="004B6E18"/>
    <w:rsid w:val="004C4884"/>
    <w:rsid w:val="004D375B"/>
    <w:rsid w:val="004D5E28"/>
    <w:rsid w:val="004E14B1"/>
    <w:rsid w:val="004E27A6"/>
    <w:rsid w:val="004E4A0B"/>
    <w:rsid w:val="004E5DDC"/>
    <w:rsid w:val="004E79D2"/>
    <w:rsid w:val="00510C37"/>
    <w:rsid w:val="0051304D"/>
    <w:rsid w:val="00515842"/>
    <w:rsid w:val="00520D93"/>
    <w:rsid w:val="00521789"/>
    <w:rsid w:val="005236AE"/>
    <w:rsid w:val="00527C87"/>
    <w:rsid w:val="005336B8"/>
    <w:rsid w:val="005365A6"/>
    <w:rsid w:val="00540910"/>
    <w:rsid w:val="0055077A"/>
    <w:rsid w:val="00561C5A"/>
    <w:rsid w:val="005653A0"/>
    <w:rsid w:val="00570657"/>
    <w:rsid w:val="00573AE2"/>
    <w:rsid w:val="00586682"/>
    <w:rsid w:val="005927AF"/>
    <w:rsid w:val="00594840"/>
    <w:rsid w:val="005952ED"/>
    <w:rsid w:val="005974A7"/>
    <w:rsid w:val="005A15C5"/>
    <w:rsid w:val="005B3F14"/>
    <w:rsid w:val="005B70FA"/>
    <w:rsid w:val="005C3EAF"/>
    <w:rsid w:val="005D5054"/>
    <w:rsid w:val="005E2BED"/>
    <w:rsid w:val="005E3156"/>
    <w:rsid w:val="005E6EE7"/>
    <w:rsid w:val="005F5117"/>
    <w:rsid w:val="006015B7"/>
    <w:rsid w:val="00614A65"/>
    <w:rsid w:val="006203E2"/>
    <w:rsid w:val="006220DF"/>
    <w:rsid w:val="0062433B"/>
    <w:rsid w:val="00625CEF"/>
    <w:rsid w:val="00642FE0"/>
    <w:rsid w:val="006470F9"/>
    <w:rsid w:val="00653E8E"/>
    <w:rsid w:val="00657575"/>
    <w:rsid w:val="00661963"/>
    <w:rsid w:val="006619F0"/>
    <w:rsid w:val="00665192"/>
    <w:rsid w:val="006678E0"/>
    <w:rsid w:val="00667FAD"/>
    <w:rsid w:val="00672C22"/>
    <w:rsid w:val="00673A48"/>
    <w:rsid w:val="00683382"/>
    <w:rsid w:val="00692FDD"/>
    <w:rsid w:val="006B2847"/>
    <w:rsid w:val="006B2C3E"/>
    <w:rsid w:val="006B6DED"/>
    <w:rsid w:val="006C0FF0"/>
    <w:rsid w:val="006C16F8"/>
    <w:rsid w:val="006C6E1F"/>
    <w:rsid w:val="006C795F"/>
    <w:rsid w:val="006D3F98"/>
    <w:rsid w:val="006E2F8C"/>
    <w:rsid w:val="006E6C44"/>
    <w:rsid w:val="006E7685"/>
    <w:rsid w:val="006F1844"/>
    <w:rsid w:val="006F304A"/>
    <w:rsid w:val="006F4716"/>
    <w:rsid w:val="006F4AFB"/>
    <w:rsid w:val="006F7B2F"/>
    <w:rsid w:val="00700FD1"/>
    <w:rsid w:val="007033C9"/>
    <w:rsid w:val="00723C3B"/>
    <w:rsid w:val="007241CC"/>
    <w:rsid w:val="00733D37"/>
    <w:rsid w:val="00756839"/>
    <w:rsid w:val="00762774"/>
    <w:rsid w:val="007631CA"/>
    <w:rsid w:val="00772418"/>
    <w:rsid w:val="00773112"/>
    <w:rsid w:val="0078520A"/>
    <w:rsid w:val="00791A88"/>
    <w:rsid w:val="0079626B"/>
    <w:rsid w:val="00796CA9"/>
    <w:rsid w:val="007A4FBF"/>
    <w:rsid w:val="007A7929"/>
    <w:rsid w:val="007B1DD3"/>
    <w:rsid w:val="007B3CD8"/>
    <w:rsid w:val="007B44E9"/>
    <w:rsid w:val="007B7755"/>
    <w:rsid w:val="007C65B3"/>
    <w:rsid w:val="00801042"/>
    <w:rsid w:val="00803F1C"/>
    <w:rsid w:val="008054B1"/>
    <w:rsid w:val="008116E2"/>
    <w:rsid w:val="00813FB8"/>
    <w:rsid w:val="00823DD7"/>
    <w:rsid w:val="00825C18"/>
    <w:rsid w:val="008304CF"/>
    <w:rsid w:val="00842F63"/>
    <w:rsid w:val="008508D3"/>
    <w:rsid w:val="00855F42"/>
    <w:rsid w:val="00856EA2"/>
    <w:rsid w:val="00856F31"/>
    <w:rsid w:val="00857D03"/>
    <w:rsid w:val="00864F0F"/>
    <w:rsid w:val="00867FD7"/>
    <w:rsid w:val="00870237"/>
    <w:rsid w:val="00875901"/>
    <w:rsid w:val="00875AA9"/>
    <w:rsid w:val="0088491E"/>
    <w:rsid w:val="00884B8F"/>
    <w:rsid w:val="00885A4B"/>
    <w:rsid w:val="008877DF"/>
    <w:rsid w:val="008931E6"/>
    <w:rsid w:val="008933A4"/>
    <w:rsid w:val="008A5BA2"/>
    <w:rsid w:val="008B2ECE"/>
    <w:rsid w:val="008B4DF4"/>
    <w:rsid w:val="008C165B"/>
    <w:rsid w:val="008C27DA"/>
    <w:rsid w:val="008C3EB0"/>
    <w:rsid w:val="008D0442"/>
    <w:rsid w:val="008D5716"/>
    <w:rsid w:val="0090408C"/>
    <w:rsid w:val="009066B4"/>
    <w:rsid w:val="009106A6"/>
    <w:rsid w:val="00912685"/>
    <w:rsid w:val="00925F9E"/>
    <w:rsid w:val="0092676D"/>
    <w:rsid w:val="009267D6"/>
    <w:rsid w:val="00927C32"/>
    <w:rsid w:val="00927E33"/>
    <w:rsid w:val="009346AA"/>
    <w:rsid w:val="00935D85"/>
    <w:rsid w:val="00945D0E"/>
    <w:rsid w:val="00951922"/>
    <w:rsid w:val="009556C3"/>
    <w:rsid w:val="00955937"/>
    <w:rsid w:val="0096152C"/>
    <w:rsid w:val="00966444"/>
    <w:rsid w:val="00970A7B"/>
    <w:rsid w:val="00976565"/>
    <w:rsid w:val="00984551"/>
    <w:rsid w:val="00984CB4"/>
    <w:rsid w:val="00987567"/>
    <w:rsid w:val="00991159"/>
    <w:rsid w:val="00993046"/>
    <w:rsid w:val="0099354C"/>
    <w:rsid w:val="009A0366"/>
    <w:rsid w:val="009A0C50"/>
    <w:rsid w:val="009B2BEE"/>
    <w:rsid w:val="009B2DC6"/>
    <w:rsid w:val="009B34C7"/>
    <w:rsid w:val="009B7CB9"/>
    <w:rsid w:val="009C5E68"/>
    <w:rsid w:val="009C6E93"/>
    <w:rsid w:val="009D5238"/>
    <w:rsid w:val="009D70F1"/>
    <w:rsid w:val="009E58B1"/>
    <w:rsid w:val="009E5CCB"/>
    <w:rsid w:val="009E734D"/>
    <w:rsid w:val="009F01F8"/>
    <w:rsid w:val="00A07FE2"/>
    <w:rsid w:val="00A20F5A"/>
    <w:rsid w:val="00A23115"/>
    <w:rsid w:val="00A239A5"/>
    <w:rsid w:val="00A244AB"/>
    <w:rsid w:val="00A26D09"/>
    <w:rsid w:val="00A3131A"/>
    <w:rsid w:val="00A34433"/>
    <w:rsid w:val="00A405BA"/>
    <w:rsid w:val="00A42B79"/>
    <w:rsid w:val="00A43538"/>
    <w:rsid w:val="00A52DB9"/>
    <w:rsid w:val="00A53D5E"/>
    <w:rsid w:val="00A556D8"/>
    <w:rsid w:val="00A56691"/>
    <w:rsid w:val="00A63C9E"/>
    <w:rsid w:val="00A66897"/>
    <w:rsid w:val="00A67966"/>
    <w:rsid w:val="00A77BD4"/>
    <w:rsid w:val="00A80259"/>
    <w:rsid w:val="00A8198D"/>
    <w:rsid w:val="00A82E30"/>
    <w:rsid w:val="00A872B3"/>
    <w:rsid w:val="00A96066"/>
    <w:rsid w:val="00AA2346"/>
    <w:rsid w:val="00AA6B22"/>
    <w:rsid w:val="00AA7206"/>
    <w:rsid w:val="00AB3051"/>
    <w:rsid w:val="00AB3BA8"/>
    <w:rsid w:val="00AC0299"/>
    <w:rsid w:val="00AC2CA2"/>
    <w:rsid w:val="00AC5A22"/>
    <w:rsid w:val="00AD3B0F"/>
    <w:rsid w:val="00AD64F6"/>
    <w:rsid w:val="00AD6FBD"/>
    <w:rsid w:val="00AD7472"/>
    <w:rsid w:val="00AD7967"/>
    <w:rsid w:val="00AE06D8"/>
    <w:rsid w:val="00AE1035"/>
    <w:rsid w:val="00AE1A84"/>
    <w:rsid w:val="00AE1AA7"/>
    <w:rsid w:val="00AF78C7"/>
    <w:rsid w:val="00B02E69"/>
    <w:rsid w:val="00B14496"/>
    <w:rsid w:val="00B16E41"/>
    <w:rsid w:val="00B170A8"/>
    <w:rsid w:val="00B17685"/>
    <w:rsid w:val="00B30858"/>
    <w:rsid w:val="00B34BF2"/>
    <w:rsid w:val="00B353C6"/>
    <w:rsid w:val="00B401DF"/>
    <w:rsid w:val="00B40959"/>
    <w:rsid w:val="00B41E58"/>
    <w:rsid w:val="00B43BAC"/>
    <w:rsid w:val="00B52670"/>
    <w:rsid w:val="00B56256"/>
    <w:rsid w:val="00B73BE3"/>
    <w:rsid w:val="00B7714F"/>
    <w:rsid w:val="00B85C2B"/>
    <w:rsid w:val="00BB05B3"/>
    <w:rsid w:val="00BB2AB0"/>
    <w:rsid w:val="00BD545F"/>
    <w:rsid w:val="00BD6318"/>
    <w:rsid w:val="00BE05AE"/>
    <w:rsid w:val="00BE3D0C"/>
    <w:rsid w:val="00BE533E"/>
    <w:rsid w:val="00BF00C2"/>
    <w:rsid w:val="00BF51F4"/>
    <w:rsid w:val="00C00CC7"/>
    <w:rsid w:val="00C04834"/>
    <w:rsid w:val="00C06BFC"/>
    <w:rsid w:val="00C1783E"/>
    <w:rsid w:val="00C24507"/>
    <w:rsid w:val="00C44198"/>
    <w:rsid w:val="00C5114A"/>
    <w:rsid w:val="00C54FF8"/>
    <w:rsid w:val="00C64B09"/>
    <w:rsid w:val="00C671AF"/>
    <w:rsid w:val="00C70B44"/>
    <w:rsid w:val="00C82F25"/>
    <w:rsid w:val="00C9450D"/>
    <w:rsid w:val="00CA2FC1"/>
    <w:rsid w:val="00CA4156"/>
    <w:rsid w:val="00CB50EB"/>
    <w:rsid w:val="00CB516C"/>
    <w:rsid w:val="00CB5F1B"/>
    <w:rsid w:val="00CC0BC0"/>
    <w:rsid w:val="00CC0EBE"/>
    <w:rsid w:val="00CD2C71"/>
    <w:rsid w:val="00CD59FF"/>
    <w:rsid w:val="00CE0013"/>
    <w:rsid w:val="00CE3AC8"/>
    <w:rsid w:val="00D01ED4"/>
    <w:rsid w:val="00D05DF0"/>
    <w:rsid w:val="00D06FF8"/>
    <w:rsid w:val="00D11D09"/>
    <w:rsid w:val="00D16553"/>
    <w:rsid w:val="00D21458"/>
    <w:rsid w:val="00D22685"/>
    <w:rsid w:val="00D239B6"/>
    <w:rsid w:val="00D25E73"/>
    <w:rsid w:val="00D26339"/>
    <w:rsid w:val="00D31825"/>
    <w:rsid w:val="00D373C1"/>
    <w:rsid w:val="00D4348B"/>
    <w:rsid w:val="00D5260A"/>
    <w:rsid w:val="00D5290D"/>
    <w:rsid w:val="00D55FA0"/>
    <w:rsid w:val="00D56E6F"/>
    <w:rsid w:val="00D72ADF"/>
    <w:rsid w:val="00D764CD"/>
    <w:rsid w:val="00D82E45"/>
    <w:rsid w:val="00D840D1"/>
    <w:rsid w:val="00D900B7"/>
    <w:rsid w:val="00D970FF"/>
    <w:rsid w:val="00D97F86"/>
    <w:rsid w:val="00DA0A44"/>
    <w:rsid w:val="00DA210E"/>
    <w:rsid w:val="00DA24BB"/>
    <w:rsid w:val="00DA2AD9"/>
    <w:rsid w:val="00DA2DA5"/>
    <w:rsid w:val="00DA53E5"/>
    <w:rsid w:val="00DA7CA6"/>
    <w:rsid w:val="00DB7BD5"/>
    <w:rsid w:val="00DC14AC"/>
    <w:rsid w:val="00DC21C5"/>
    <w:rsid w:val="00DC5FF0"/>
    <w:rsid w:val="00DC637C"/>
    <w:rsid w:val="00DC724D"/>
    <w:rsid w:val="00DD4EB1"/>
    <w:rsid w:val="00DD5689"/>
    <w:rsid w:val="00DE09CB"/>
    <w:rsid w:val="00DE1BCC"/>
    <w:rsid w:val="00DE52C9"/>
    <w:rsid w:val="00DE5BDB"/>
    <w:rsid w:val="00DE75A1"/>
    <w:rsid w:val="00DF098E"/>
    <w:rsid w:val="00DF5BE3"/>
    <w:rsid w:val="00DF775D"/>
    <w:rsid w:val="00E100EA"/>
    <w:rsid w:val="00E21DFD"/>
    <w:rsid w:val="00E24B46"/>
    <w:rsid w:val="00E3728B"/>
    <w:rsid w:val="00E433B0"/>
    <w:rsid w:val="00E4508A"/>
    <w:rsid w:val="00E5698C"/>
    <w:rsid w:val="00E57C50"/>
    <w:rsid w:val="00E6204B"/>
    <w:rsid w:val="00E654FF"/>
    <w:rsid w:val="00E724B3"/>
    <w:rsid w:val="00E762EF"/>
    <w:rsid w:val="00E77092"/>
    <w:rsid w:val="00E779C6"/>
    <w:rsid w:val="00E800B5"/>
    <w:rsid w:val="00E807F0"/>
    <w:rsid w:val="00E81327"/>
    <w:rsid w:val="00E858F1"/>
    <w:rsid w:val="00E85B9B"/>
    <w:rsid w:val="00E91550"/>
    <w:rsid w:val="00E93787"/>
    <w:rsid w:val="00E95EBE"/>
    <w:rsid w:val="00EA4DC4"/>
    <w:rsid w:val="00EB5EF3"/>
    <w:rsid w:val="00ED0182"/>
    <w:rsid w:val="00ED0ABB"/>
    <w:rsid w:val="00ED47DE"/>
    <w:rsid w:val="00EE2A51"/>
    <w:rsid w:val="00EE2CED"/>
    <w:rsid w:val="00EE711F"/>
    <w:rsid w:val="00EF5021"/>
    <w:rsid w:val="00F16B0C"/>
    <w:rsid w:val="00F23B15"/>
    <w:rsid w:val="00F243B9"/>
    <w:rsid w:val="00F2563D"/>
    <w:rsid w:val="00F27063"/>
    <w:rsid w:val="00F36A02"/>
    <w:rsid w:val="00F370CC"/>
    <w:rsid w:val="00F41A5D"/>
    <w:rsid w:val="00F54094"/>
    <w:rsid w:val="00F609DD"/>
    <w:rsid w:val="00F613B4"/>
    <w:rsid w:val="00F61570"/>
    <w:rsid w:val="00F64880"/>
    <w:rsid w:val="00F64CA2"/>
    <w:rsid w:val="00F6652B"/>
    <w:rsid w:val="00F853AC"/>
    <w:rsid w:val="00F87160"/>
    <w:rsid w:val="00F90834"/>
    <w:rsid w:val="00F925E2"/>
    <w:rsid w:val="00F95872"/>
    <w:rsid w:val="00F96F50"/>
    <w:rsid w:val="00F9755B"/>
    <w:rsid w:val="00FA1856"/>
    <w:rsid w:val="00FA5D22"/>
    <w:rsid w:val="00FB0BAD"/>
    <w:rsid w:val="00FB5876"/>
    <w:rsid w:val="00FC711A"/>
    <w:rsid w:val="00FD2352"/>
    <w:rsid w:val="00FE0BF4"/>
    <w:rsid w:val="00FE1C2A"/>
    <w:rsid w:val="00FE6064"/>
    <w:rsid w:val="00FF0ABE"/>
    <w:rsid w:val="00FF0CCD"/>
    <w:rsid w:val="00FF23C2"/>
    <w:rsid w:val="00FF251F"/>
    <w:rsid w:val="00F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1C5A"/>
    <w:rPr>
      <w:b/>
      <w:bCs/>
    </w:rPr>
  </w:style>
  <w:style w:type="character" w:customStyle="1" w:styleId="apple-converted-space">
    <w:name w:val="apple-converted-space"/>
    <w:basedOn w:val="a0"/>
    <w:rsid w:val="00561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1C5A"/>
    <w:rPr>
      <w:b/>
      <w:bCs/>
    </w:rPr>
  </w:style>
  <w:style w:type="character" w:customStyle="1" w:styleId="apple-converted-space">
    <w:name w:val="apple-converted-space"/>
    <w:basedOn w:val="a0"/>
    <w:rsid w:val="0056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6427">
      <w:bodyDiv w:val="1"/>
      <w:marLeft w:val="0"/>
      <w:marRight w:val="0"/>
      <w:marTop w:val="0"/>
      <w:marBottom w:val="0"/>
      <w:divBdr>
        <w:top w:val="none" w:sz="0" w:space="0" w:color="auto"/>
        <w:left w:val="none" w:sz="0" w:space="0" w:color="auto"/>
        <w:bottom w:val="none" w:sz="0" w:space="0" w:color="auto"/>
        <w:right w:val="none" w:sz="0" w:space="0" w:color="auto"/>
      </w:divBdr>
    </w:div>
    <w:div w:id="5844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孔娟</dc:creator>
  <cp:keywords/>
  <dc:description/>
  <cp:lastModifiedBy>孔娟</cp:lastModifiedBy>
  <cp:revision>7</cp:revision>
  <dcterms:created xsi:type="dcterms:W3CDTF">2021-10-09T02:06:00Z</dcterms:created>
  <dcterms:modified xsi:type="dcterms:W3CDTF">2021-10-15T01:01:00Z</dcterms:modified>
</cp:coreProperties>
</file>